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#101</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w:t>
      </w:r>
      <w:r>
        <w:rPr>
          <w:rFonts w:hint="eastAsia" w:ascii="Arial" w:hAnsi="Arial"/>
          <w:b/>
          <w:sz w:val="24"/>
          <w:lang w:val="en-US" w:eastAsia="zh-CN"/>
        </w:rPr>
        <w:t>19109</w:t>
      </w:r>
      <w:bookmarkStart w:id="5" w:name="_GoBack"/>
      <w:bookmarkEnd w:id="5"/>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eastAsia="zh-CN"/>
        </w:rPr>
        <w:t>1</w:t>
      </w:r>
      <w:r>
        <w:rPr>
          <w:rFonts w:hint="eastAsia" w:ascii="Arial" w:hAnsi="Arial" w:eastAsia="宋体"/>
          <w:b/>
          <w:sz w:val="24"/>
          <w:vertAlign w:val="superscript"/>
          <w:lang w:eastAsia="zh-CN"/>
        </w:rPr>
        <w:t>st</w:t>
      </w:r>
      <w:r>
        <w:rPr>
          <w:rFonts w:ascii="Arial" w:hAnsi="Arial" w:eastAsia="宋体"/>
          <w:b/>
          <w:sz w:val="24"/>
          <w:lang w:eastAsia="zh-CN"/>
        </w:rPr>
        <w:t xml:space="preserve"> - </w:t>
      </w:r>
      <w:r>
        <w:rPr>
          <w:rFonts w:hint="eastAsia" w:ascii="Arial" w:hAnsi="Arial" w:eastAsia="宋体"/>
          <w:b/>
          <w:sz w:val="24"/>
          <w:lang w:eastAsia="zh-CN"/>
        </w:rPr>
        <w:t>12</w:t>
      </w:r>
      <w:r>
        <w:rPr>
          <w:rFonts w:ascii="Arial" w:hAnsi="Arial" w:eastAsia="宋体"/>
          <w:b/>
          <w:sz w:val="24"/>
          <w:vertAlign w:val="superscript"/>
          <w:lang w:eastAsia="zh-CN"/>
        </w:rPr>
        <w:t>th</w:t>
      </w:r>
      <w:r>
        <w:rPr>
          <w:rFonts w:hint="eastAsia" w:ascii="Arial" w:hAnsi="Arial" w:eastAsia="宋体"/>
          <w:b/>
          <w:sz w:val="24"/>
          <w:lang w:eastAsia="zh-CN"/>
        </w:rPr>
        <w:t>Nov</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4"/>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RX beam number for HST FR2</w:t>
      </w:r>
    </w:p>
    <w:p>
      <w:pPr>
        <w:pStyle w:val="14"/>
        <w:tabs>
          <w:tab w:val="left" w:pos="1800"/>
          <w:tab w:val="left" w:pos="3825"/>
          <w:tab w:val="clear" w:pos="4536"/>
          <w:tab w:val="clear" w:pos="9072"/>
        </w:tabs>
        <w:spacing w:after="60"/>
        <w:jc w:val="both"/>
        <w:rPr>
          <w:rFonts w:eastAsia="宋体"/>
          <w:sz w:val="24"/>
          <w:lang w:val="en-US" w:eastAsia="zh-CN"/>
        </w:rPr>
      </w:pPr>
      <w:r>
        <w:rPr>
          <w:sz w:val="24"/>
        </w:rPr>
        <w:t>Agenda Item:</w:t>
      </w:r>
      <w:r>
        <w:rPr>
          <w:sz w:val="24"/>
        </w:rPr>
        <w:tab/>
      </w:r>
      <w:r>
        <w:rPr>
          <w:rFonts w:hint="eastAsia" w:eastAsia="宋体"/>
          <w:sz w:val="24"/>
          <w:lang w:val="en-US" w:eastAsia="zh-CN"/>
        </w:rPr>
        <w:t>8.9.4.2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the last meeting, a way forward on RRM NR FR2 HST was approved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b/>
                <w:bCs/>
                <w:u w:val="single"/>
              </w:rPr>
            </w:pPr>
            <w:r>
              <w:rPr>
                <w:b/>
                <w:bCs/>
                <w:u w:val="single"/>
              </w:rPr>
              <w:t>Number of RX beams</w:t>
            </w:r>
          </w:p>
          <w:p>
            <w:pPr>
              <w:overflowPunct w:val="0"/>
              <w:autoSpaceDE w:val="0"/>
              <w:autoSpaceDN w:val="0"/>
              <w:adjustRightInd w:val="0"/>
              <w:textAlignment w:val="baseline"/>
              <w:rPr>
                <w:rFonts w:eastAsia="Yu Mincho"/>
                <w:b/>
              </w:rPr>
            </w:pPr>
            <w:r>
              <w:rPr>
                <w:rFonts w:eastAsia="Yu Mincho"/>
                <w:b/>
                <w:highlight w:val="green"/>
              </w:rPr>
              <w:t>GtW agreements:</w:t>
            </w:r>
          </w:p>
          <w:p>
            <w:pPr>
              <w:pStyle w:val="27"/>
              <w:numPr>
                <w:ilvl w:val="0"/>
                <w:numId w:val="4"/>
              </w:numPr>
              <w:ind w:firstLineChars="0"/>
              <w:rPr>
                <w:rFonts w:ascii="Times New Roman" w:hAnsi="Times New Roman"/>
                <w:kern w:val="0"/>
                <w:sz w:val="20"/>
                <w:szCs w:val="20"/>
              </w:rPr>
            </w:pPr>
            <w:r>
              <w:rPr>
                <w:rFonts w:ascii="Times New Roman" w:hAnsi="Times New Roman"/>
                <w:kern w:val="0"/>
                <w:sz w:val="20"/>
                <w:szCs w:val="20"/>
              </w:rPr>
              <w:t>RX beam number for RRM requirements definition</w:t>
            </w:r>
          </w:p>
          <w:p>
            <w:pPr>
              <w:pStyle w:val="27"/>
              <w:numPr>
                <w:ilvl w:val="1"/>
                <w:numId w:val="4"/>
              </w:numPr>
              <w:ind w:firstLineChars="0"/>
              <w:rPr>
                <w:rFonts w:ascii="Times New Roman" w:hAnsi="Times New Roman"/>
                <w:kern w:val="0"/>
                <w:sz w:val="20"/>
                <w:szCs w:val="20"/>
              </w:rPr>
            </w:pPr>
            <w:r>
              <w:rPr>
                <w:rFonts w:ascii="Times New Roman" w:hAnsi="Times New Roman"/>
                <w:kern w:val="0"/>
                <w:sz w:val="20"/>
                <w:szCs w:val="20"/>
              </w:rPr>
              <w:t>Define two set of requirements for Scenario A and Scenario B in terms of number of RX beams per UE</w:t>
            </w:r>
          </w:p>
          <w:p>
            <w:pPr>
              <w:pStyle w:val="27"/>
              <w:numPr>
                <w:ilvl w:val="2"/>
                <w:numId w:val="4"/>
              </w:numPr>
              <w:ind w:firstLineChars="0"/>
              <w:rPr>
                <w:rFonts w:ascii="Times New Roman" w:hAnsi="Times New Roman"/>
                <w:kern w:val="0"/>
                <w:sz w:val="20"/>
                <w:szCs w:val="20"/>
              </w:rPr>
            </w:pPr>
            <w:r>
              <w:rPr>
                <w:rFonts w:ascii="Times New Roman" w:hAnsi="Times New Roman"/>
                <w:kern w:val="0"/>
                <w:sz w:val="20"/>
                <w:szCs w:val="20"/>
              </w:rPr>
              <w:t>Scenario A: [2] RX beams for all scenarios</w:t>
            </w:r>
          </w:p>
          <w:p>
            <w:pPr>
              <w:pStyle w:val="27"/>
              <w:numPr>
                <w:ilvl w:val="2"/>
                <w:numId w:val="4"/>
              </w:numPr>
              <w:ind w:firstLineChars="0"/>
              <w:rPr>
                <w:rFonts w:ascii="Times New Roman" w:hAnsi="Times New Roman"/>
                <w:kern w:val="0"/>
                <w:sz w:val="20"/>
                <w:szCs w:val="20"/>
              </w:rPr>
            </w:pPr>
            <w:r>
              <w:rPr>
                <w:rFonts w:ascii="Times New Roman" w:hAnsi="Times New Roman"/>
                <w:kern w:val="0"/>
                <w:sz w:val="20"/>
                <w:szCs w:val="20"/>
              </w:rPr>
              <w:t>Scenario B: [6] RX beams for all scenarios</w:t>
            </w:r>
          </w:p>
          <w:p>
            <w:pPr>
              <w:pStyle w:val="27"/>
              <w:numPr>
                <w:ilvl w:val="2"/>
                <w:numId w:val="4"/>
              </w:numPr>
              <w:ind w:firstLineChars="0"/>
              <w:rPr>
                <w:rFonts w:ascii="Times New Roman" w:hAnsi="Times New Roman"/>
                <w:kern w:val="0"/>
                <w:sz w:val="20"/>
                <w:szCs w:val="20"/>
              </w:rPr>
            </w:pPr>
            <w:r>
              <w:rPr>
                <w:rFonts w:ascii="Times New Roman" w:hAnsi="Times New Roman"/>
                <w:kern w:val="0"/>
                <w:sz w:val="20"/>
                <w:szCs w:val="20"/>
              </w:rPr>
              <w:t>FFS on feasibility and methods to differentiate scenarios from UE perspective</w:t>
            </w:r>
          </w:p>
          <w:p>
            <w:pPr>
              <w:pStyle w:val="27"/>
              <w:numPr>
                <w:ilvl w:val="2"/>
                <w:numId w:val="4"/>
              </w:numPr>
              <w:ind w:firstLineChars="0"/>
              <w:rPr>
                <w:rFonts w:ascii="Times New Roman" w:hAnsi="Times New Roman"/>
                <w:kern w:val="0"/>
                <w:sz w:val="20"/>
                <w:szCs w:val="20"/>
              </w:rPr>
            </w:pPr>
            <w:r>
              <w:rPr>
                <w:rFonts w:ascii="Times New Roman" w:hAnsi="Times New Roman"/>
                <w:kern w:val="0"/>
                <w:sz w:val="20"/>
                <w:szCs w:val="20"/>
              </w:rPr>
              <w:t>FFS if different UE capabilities shall be used for Scenario A and B support</w:t>
            </w:r>
          </w:p>
          <w:p>
            <w:pPr>
              <w:pStyle w:val="27"/>
              <w:numPr>
                <w:ilvl w:val="1"/>
                <w:numId w:val="4"/>
              </w:numPr>
              <w:ind w:firstLineChars="0"/>
              <w:rPr>
                <w:rFonts w:ascii="Times New Roman" w:hAnsi="Times New Roman"/>
                <w:kern w:val="0"/>
                <w:sz w:val="20"/>
                <w:szCs w:val="20"/>
              </w:rPr>
            </w:pPr>
            <w:r>
              <w:rPr>
                <w:rFonts w:ascii="Times New Roman" w:hAnsi="Times New Roman"/>
                <w:kern w:val="0"/>
                <w:sz w:val="20"/>
                <w:szCs w:val="20"/>
              </w:rPr>
              <w:t>Note: if there is insignificant difference between Scenario A and B requirements, then further discussion on unified requirements can take place</w:t>
            </w:r>
          </w:p>
          <w:p>
            <w:pPr>
              <w:overflowPunct w:val="0"/>
              <w:autoSpaceDE w:val="0"/>
              <w:autoSpaceDN w:val="0"/>
              <w:adjustRightInd w:val="0"/>
              <w:textAlignment w:val="baseline"/>
              <w:rPr>
                <w:rFonts w:eastAsia="Yu Mincho"/>
                <w:b/>
              </w:rPr>
            </w:pPr>
            <w:r>
              <w:rPr>
                <w:rFonts w:eastAsia="Yu Mincho"/>
                <w:b/>
              </w:rPr>
              <w:t>Way forward:</w:t>
            </w:r>
          </w:p>
          <w:p>
            <w:pPr>
              <w:pStyle w:val="15"/>
              <w:spacing w:before="0" w:beforeAutospacing="0" w:after="0" w:afterAutospacing="0"/>
              <w:ind w:left="-40" w:firstLine="400" w:firstLineChars="200"/>
              <w:rPr>
                <w:rFonts w:ascii="Times New Roman" w:hAnsi="Times New Roman" w:cs="Times New Roman"/>
                <w:sz w:val="20"/>
                <w:szCs w:val="20"/>
              </w:rPr>
            </w:pPr>
            <w:r>
              <w:rPr>
                <w:rFonts w:ascii="Times New Roman" w:hAnsi="Times New Roman" w:cs="Times New Roman"/>
                <w:sz w:val="20"/>
                <w:szCs w:val="20"/>
              </w:rPr>
              <w:t>Discuss the FFS issues from GTW agreement and the possibility to unify the requirements further.</w:t>
            </w:r>
          </w:p>
          <w:p>
            <w:pPr>
              <w:rPr>
                <w:b/>
                <w:bCs/>
                <w:u w:val="single"/>
              </w:rPr>
            </w:pPr>
            <w:r>
              <w:rPr>
                <w:b/>
                <w:bCs/>
                <w:u w:val="single"/>
              </w:rPr>
              <w:t>Impact of RRH position at one/both sides of rail track</w:t>
            </w:r>
          </w:p>
          <w:p>
            <w:pPr>
              <w:overflowPunct w:val="0"/>
              <w:autoSpaceDE w:val="0"/>
              <w:autoSpaceDN w:val="0"/>
              <w:adjustRightInd w:val="0"/>
              <w:textAlignment w:val="baseline"/>
              <w:rPr>
                <w:rFonts w:eastAsia="Yu Mincho"/>
                <w:b/>
                <w:lang w:eastAsia="zh-CN"/>
              </w:rPr>
            </w:pPr>
            <w:bookmarkStart w:id="0" w:name="OLE_LINK8"/>
            <w:r>
              <w:rPr>
                <w:rFonts w:eastAsia="Yu Mincho"/>
                <w:b/>
                <w:highlight w:val="green"/>
              </w:rPr>
              <w:t>Agreement:</w:t>
            </w:r>
          </w:p>
          <w:p>
            <w:pPr>
              <w:overflowPunct w:val="0"/>
              <w:autoSpaceDE w:val="0"/>
              <w:autoSpaceDN w:val="0"/>
              <w:adjustRightInd w:val="0"/>
              <w:ind w:left="284"/>
              <w:textAlignment w:val="baseline"/>
              <w:rPr>
                <w:rFonts w:eastAsia="宋体"/>
                <w:szCs w:val="20"/>
                <w:lang w:eastAsia="zh-CN"/>
              </w:rPr>
            </w:pPr>
            <w:r>
              <w:rPr>
                <w:rFonts w:eastAsia="宋体"/>
                <w:szCs w:val="20"/>
                <w:lang w:eastAsia="zh-CN"/>
              </w:rPr>
              <w:t>There is no impact of RRH position at one/both sides of rail track in Scenario-A under the assumption that UE boresight direction (or the beam direction if there is only one beam) is parallel to the track</w:t>
            </w:r>
          </w:p>
          <w:p>
            <w:pPr>
              <w:overflowPunct w:val="0"/>
              <w:autoSpaceDE w:val="0"/>
              <w:autoSpaceDN w:val="0"/>
              <w:adjustRightInd w:val="0"/>
              <w:textAlignment w:val="baseline"/>
              <w:rPr>
                <w:rFonts w:eastAsia="Yu Mincho"/>
                <w:b/>
              </w:rPr>
            </w:pPr>
            <w:r>
              <w:rPr>
                <w:rFonts w:eastAsia="Yu Mincho"/>
                <w:b/>
              </w:rPr>
              <w:t>Way forward:</w:t>
            </w:r>
          </w:p>
          <w:p>
            <w:pPr>
              <w:overflowPunct w:val="0"/>
              <w:autoSpaceDE w:val="0"/>
              <w:autoSpaceDN w:val="0"/>
              <w:adjustRightInd w:val="0"/>
              <w:ind w:left="284"/>
              <w:textAlignment w:val="baseline"/>
              <w:rPr>
                <w:rFonts w:eastAsia="Yu Mincho"/>
              </w:rPr>
            </w:pPr>
            <w:r>
              <w:rPr>
                <w:rFonts w:eastAsia="Yu Mincho"/>
              </w:rPr>
              <w:t>Companies are encouraged to evaluate candidate options for Scenario-B considering the GtW agreements</w:t>
            </w:r>
          </w:p>
          <w:p>
            <w:pPr>
              <w:pStyle w:val="27"/>
              <w:numPr>
                <w:ilvl w:val="0"/>
                <w:numId w:val="4"/>
              </w:numPr>
              <w:ind w:firstLineChars="0"/>
              <w:rPr>
                <w:rFonts w:ascii="Times New Roman" w:hAnsi="Times New Roman"/>
                <w:kern w:val="0"/>
                <w:sz w:val="20"/>
                <w:szCs w:val="20"/>
              </w:rPr>
            </w:pPr>
            <w:r>
              <w:rPr>
                <w:rFonts w:ascii="Times New Roman" w:hAnsi="Times New Roman"/>
                <w:kern w:val="0"/>
                <w:sz w:val="20"/>
                <w:szCs w:val="20"/>
              </w:rPr>
              <w:t>Option 1: RRM requirements are defined with scaling factor which is double of number of RX sweep number in scenario study.</w:t>
            </w:r>
          </w:p>
          <w:p>
            <w:pPr>
              <w:pStyle w:val="27"/>
              <w:numPr>
                <w:ilvl w:val="0"/>
                <w:numId w:val="5"/>
              </w:numPr>
              <w:spacing w:line="256" w:lineRule="auto"/>
              <w:ind w:firstLineChars="0"/>
              <w:rPr>
                <w:rFonts w:ascii="Times New Roman" w:hAnsi="Times New Roman"/>
                <w:kern w:val="0"/>
                <w:sz w:val="20"/>
                <w:szCs w:val="20"/>
              </w:rPr>
            </w:pPr>
            <w:r>
              <w:rPr>
                <w:rFonts w:ascii="Times New Roman" w:hAnsi="Times New Roman"/>
                <w:kern w:val="0"/>
                <w:sz w:val="20"/>
                <w:szCs w:val="20"/>
              </w:rPr>
              <w:t>Option 2: RRM requirements are defined with adapted scaling factor based on explicit or implicit signalling from network to UE.</w:t>
            </w:r>
          </w:p>
          <w:p>
            <w:pPr>
              <w:pStyle w:val="27"/>
              <w:numPr>
                <w:ilvl w:val="0"/>
                <w:numId w:val="5"/>
              </w:numPr>
              <w:spacing w:line="256" w:lineRule="auto"/>
              <w:ind w:firstLineChars="0"/>
              <w:rPr>
                <w:rFonts w:ascii="Times New Roman" w:hAnsi="Times New Roman"/>
                <w:sz w:val="20"/>
                <w:szCs w:val="20"/>
              </w:rPr>
            </w:pPr>
            <w:r>
              <w:rPr>
                <w:rFonts w:ascii="Times New Roman" w:hAnsi="Times New Roman"/>
                <w:kern w:val="0"/>
                <w:sz w:val="20"/>
                <w:szCs w:val="20"/>
              </w:rPr>
              <w:t>Other options are not precluded.</w:t>
            </w:r>
          </w:p>
          <w:bookmarkEnd w:id="0"/>
          <w:p>
            <w:pPr>
              <w:pStyle w:val="27"/>
              <w:spacing w:line="256" w:lineRule="auto"/>
              <w:ind w:firstLine="0" w:firstLineChars="0"/>
              <w:rPr>
                <w:rFonts w:ascii="Times New Roman" w:hAnsi="Times New Roman" w:eastAsia="Times New Roman"/>
                <w:b/>
                <w:bCs/>
                <w:kern w:val="0"/>
                <w:sz w:val="20"/>
                <w:szCs w:val="24"/>
                <w:u w:val="single"/>
              </w:rPr>
            </w:pPr>
            <w:r>
              <w:rPr>
                <w:rFonts w:ascii="Times New Roman" w:hAnsi="Times New Roman" w:eastAsia="Times New Roman"/>
                <w:b/>
                <w:bCs/>
                <w:kern w:val="0"/>
                <w:sz w:val="20"/>
                <w:szCs w:val="24"/>
                <w:u w:val="single"/>
              </w:rPr>
              <w:t>Impact of obstruction between RRH and UE</w:t>
            </w:r>
          </w:p>
          <w:p>
            <w:pPr>
              <w:overflowPunct w:val="0"/>
              <w:autoSpaceDE w:val="0"/>
              <w:autoSpaceDN w:val="0"/>
              <w:adjustRightInd w:val="0"/>
              <w:textAlignment w:val="baseline"/>
              <w:rPr>
                <w:rFonts w:eastAsia="Yu Mincho"/>
                <w:b/>
              </w:rPr>
            </w:pPr>
            <w:r>
              <w:rPr>
                <w:rFonts w:eastAsia="Yu Mincho"/>
                <w:b/>
                <w:highlight w:val="green"/>
              </w:rPr>
              <w:t>Agreement:</w:t>
            </w:r>
          </w:p>
          <w:p>
            <w:pPr>
              <w:pStyle w:val="27"/>
              <w:spacing w:line="256" w:lineRule="auto"/>
              <w:ind w:left="400" w:leftChars="200" w:firstLine="0" w:firstLineChars="0"/>
              <w:rPr>
                <w:rFonts w:ascii="Times New Roman" w:hAnsi="Times New Roman" w:eastAsia="Yu Mincho"/>
                <w:kern w:val="0"/>
                <w:sz w:val="20"/>
                <w:szCs w:val="24"/>
              </w:rPr>
            </w:pPr>
            <w:r>
              <w:rPr>
                <w:rFonts w:ascii="Times New Roman" w:hAnsi="Times New Roman" w:eastAsia="Yu Mincho"/>
                <w:kern w:val="0"/>
                <w:sz w:val="20"/>
                <w:szCs w:val="24"/>
              </w:rPr>
              <w:t>Impact of obstruction between RRH and UE on RRM e.g., beam management/RX beam number, doesn’t need to be discussed in this session.</w:t>
            </w:r>
          </w:p>
          <w:p>
            <w:pPr>
              <w:rPr>
                <w:b/>
                <w:bCs/>
                <w:u w:val="single"/>
                <w:lang w:eastAsia="zh-CN"/>
              </w:rPr>
            </w:pPr>
            <w:r>
              <w:rPr>
                <w:b/>
                <w:bCs/>
                <w:u w:val="single"/>
                <w:lang w:eastAsia="zh-CN"/>
              </w:rPr>
              <w:t>Unified uni- and bi-directional RRM requirements</w:t>
            </w:r>
          </w:p>
          <w:p>
            <w:pPr>
              <w:overflowPunct w:val="0"/>
              <w:autoSpaceDE w:val="0"/>
              <w:autoSpaceDN w:val="0"/>
              <w:adjustRightInd w:val="0"/>
              <w:textAlignment w:val="baseline"/>
              <w:rPr>
                <w:rFonts w:eastAsia="Yu Mincho"/>
                <w:b/>
              </w:rPr>
            </w:pPr>
            <w:r>
              <w:rPr>
                <w:rFonts w:eastAsia="Yu Mincho"/>
                <w:b/>
              </w:rPr>
              <w:t>Way forward:</w:t>
            </w:r>
          </w:p>
          <w:p>
            <w:pPr>
              <w:overflowPunct w:val="0"/>
              <w:autoSpaceDE w:val="0"/>
              <w:autoSpaceDN w:val="0"/>
              <w:adjustRightInd w:val="0"/>
              <w:ind w:left="400" w:leftChars="200"/>
              <w:textAlignment w:val="baseline"/>
              <w:rPr>
                <w:rFonts w:eastAsia="Yu Mincho"/>
              </w:rPr>
            </w:pPr>
            <w:r>
              <w:rPr>
                <w:rFonts w:eastAsia="Yu Mincho"/>
              </w:rPr>
              <w:t xml:space="preserve">Companies, which have concerns with regard to defining a unified set of enhanced RRM requirements for uni- and bi-directional modes, are encouraged to bring technical analysis outlining the cause/reason for the difference in uni and bi-directional modes taking into account different (or range of) Dmin, etc. </w:t>
            </w:r>
          </w:p>
          <w:p>
            <w:pPr>
              <w:overflowPunct w:val="0"/>
              <w:autoSpaceDE w:val="0"/>
              <w:autoSpaceDN w:val="0"/>
              <w:adjustRightInd w:val="0"/>
              <w:ind w:left="400" w:leftChars="200"/>
              <w:textAlignment w:val="baseline"/>
              <w:rPr>
                <w:rFonts w:eastAsiaTheme="minorEastAsia"/>
                <w:lang w:eastAsia="zh-CN"/>
              </w:rPr>
            </w:pPr>
            <w:r>
              <w:rPr>
                <w:rFonts w:eastAsia="Yu Mincho"/>
                <w:bCs/>
              </w:rPr>
              <w:t>Companies are recommended to capture their analysis in TR 38.854.</w:t>
            </w:r>
          </w:p>
        </w:tc>
      </w:tr>
    </w:tbl>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document, we provide some analysis focus on the following remaining open issues about RX sweep beam number:</w:t>
      </w:r>
    </w:p>
    <w:p>
      <w:pPr>
        <w:pStyle w:val="3"/>
        <w:numPr>
          <w:ilvl w:val="0"/>
          <w:numId w:val="6"/>
        </w:numPr>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Rx beam number for Different Scenarios and different deployments</w:t>
      </w:r>
    </w:p>
    <w:p>
      <w:pPr>
        <w:pStyle w:val="3"/>
        <w:numPr>
          <w:ilvl w:val="0"/>
          <w:numId w:val="6"/>
        </w:numPr>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Impact of RRH position at one/both sides of rail track for Scenario B</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4"/>
        <w:rPr>
          <w:sz w:val="28"/>
          <w:lang w:val="en-US" w:eastAsia="zh-CN"/>
        </w:rPr>
      </w:pPr>
      <w:r>
        <w:rPr>
          <w:rFonts w:hint="eastAsia"/>
          <w:sz w:val="28"/>
          <w:lang w:val="en-US" w:eastAsia="zh-CN"/>
        </w:rPr>
        <w:t>2.1 Rx beam number for Different Scenarios and different deployments</w:t>
      </w:r>
    </w:p>
    <w:p>
      <w:pPr>
        <w:pStyle w:val="3"/>
        <w:rPr>
          <w:rFonts w:hint="default" w:eastAsia="宋体"/>
          <w:szCs w:val="20"/>
          <w:lang w:val="en-US" w:eastAsia="zh-CN"/>
        </w:rPr>
      </w:pPr>
      <w:r>
        <w:rPr>
          <w:rFonts w:hint="eastAsia" w:eastAsia="宋体"/>
          <w:szCs w:val="20"/>
          <w:lang w:val="en-US" w:eastAsia="zh-CN"/>
        </w:rPr>
        <w:t>According to our link budget analysis in [2], even for Scenario B uni-directional deployment, 2 RX beam is sufficient. More RX beam will not bring much additional gain. Therefore, it is recommended that square brackets can be removed. For Scenario A, 2 RX beam are used for both uni- and bi-directional deployments. For Scenario B, 6 RX beam is redundant, both for uni- and bi-directional deployments, less RX beam number can be considered, or, at most 6 RX beam can be supported.</w:t>
      </w:r>
    </w:p>
    <w:p>
      <w:pPr>
        <w:pStyle w:val="3"/>
        <w:rPr>
          <w:rFonts w:eastAsia="宋体"/>
          <w:b/>
          <w:bCs/>
          <w:szCs w:val="20"/>
          <w:lang w:val="en-US" w:eastAsia="zh-CN"/>
        </w:rPr>
      </w:pPr>
      <w:r>
        <w:rPr>
          <w:rFonts w:hint="eastAsia" w:eastAsia="宋体"/>
          <w:b/>
          <w:bCs/>
          <w:szCs w:val="20"/>
          <w:lang w:val="en-US" w:eastAsia="zh-CN"/>
        </w:rPr>
        <w:t>Proposal 1: 2 RX beam per CPE panel is enouth for both uni- and bi-directional deployments of Scenario A.</w:t>
      </w:r>
    </w:p>
    <w:p>
      <w:pPr>
        <w:pStyle w:val="3"/>
        <w:rPr>
          <w:rFonts w:eastAsia="宋体"/>
          <w:b/>
          <w:bCs/>
          <w:szCs w:val="20"/>
          <w:lang w:val="en-US" w:eastAsia="zh-CN"/>
        </w:rPr>
      </w:pPr>
      <w:r>
        <w:rPr>
          <w:rFonts w:hint="eastAsia" w:eastAsia="宋体"/>
          <w:b/>
          <w:bCs/>
          <w:szCs w:val="20"/>
          <w:lang w:val="en-US" w:eastAsia="zh-CN"/>
        </w:rPr>
        <w:t>Proposal 2: 6 RX beam per CPE panel is a bit redundant for Scenario B, especially for bi-directional deployment.</w:t>
      </w:r>
    </w:p>
    <w:p>
      <w:pPr>
        <w:pStyle w:val="4"/>
        <w:rPr>
          <w:rFonts w:eastAsiaTheme="minorEastAsia"/>
          <w:sz w:val="28"/>
          <w:lang w:val="en-US" w:eastAsia="zh-CN"/>
        </w:rPr>
      </w:pPr>
      <w:r>
        <w:rPr>
          <w:rFonts w:hint="eastAsia"/>
          <w:sz w:val="28"/>
          <w:lang w:val="en-US" w:eastAsia="zh-CN"/>
        </w:rPr>
        <w:t>2.2 Impact of RRH position at one/both sides of rail track</w:t>
      </w:r>
      <w:r>
        <w:rPr>
          <w:rFonts w:hint="eastAsia" w:eastAsiaTheme="minorEastAsia"/>
          <w:sz w:val="28"/>
          <w:lang w:val="en-US" w:eastAsia="zh-CN"/>
        </w:rPr>
        <w:t xml:space="preserve"> for Scenario B</w:t>
      </w:r>
    </w:p>
    <w:p>
      <w:pPr>
        <w:pStyle w:val="3"/>
        <w:rPr>
          <w:rFonts w:hint="default" w:eastAsia="宋体"/>
          <w:szCs w:val="20"/>
          <w:lang w:val="en-US" w:eastAsia="zh-CN"/>
        </w:rPr>
      </w:pPr>
      <w:r>
        <w:rPr>
          <w:rFonts w:hint="eastAsia" w:eastAsia="宋体"/>
          <w:szCs w:val="20"/>
          <w:lang w:val="en-US" w:eastAsia="zh-CN"/>
        </w:rPr>
        <w:t>We are a bit confused that during 98 meeting, the following agreements were approved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7"/>
              </w:numPr>
              <w:overflowPunct w:val="0"/>
              <w:autoSpaceDE w:val="0"/>
              <w:autoSpaceDN w:val="0"/>
              <w:adjustRightInd w:val="0"/>
              <w:textAlignment w:val="baseline"/>
              <w:rPr>
                <w:rFonts w:eastAsiaTheme="minorEastAsia"/>
                <w:lang w:eastAsia="zh-CN"/>
              </w:rPr>
            </w:pPr>
            <w:r>
              <w:rPr>
                <w:rFonts w:eastAsiaTheme="minorEastAsia"/>
                <w:lang w:eastAsia="zh-CN"/>
              </w:rPr>
              <w:t>RAN4 primarily consider HST FR2 deployment with</w:t>
            </w:r>
          </w:p>
          <w:p>
            <w:pPr>
              <w:widowControl w:val="0"/>
              <w:numPr>
                <w:ilvl w:val="1"/>
                <w:numId w:val="7"/>
              </w:numPr>
              <w:overflowPunct w:val="0"/>
              <w:autoSpaceDE w:val="0"/>
              <w:autoSpaceDN w:val="0"/>
              <w:adjustRightInd w:val="0"/>
              <w:textAlignment w:val="baseline"/>
              <w:rPr>
                <w:rFonts w:eastAsiaTheme="minorEastAsia"/>
                <w:lang w:eastAsia="zh-CN"/>
              </w:rPr>
            </w:pPr>
            <w:r>
              <w:rPr>
                <w:rFonts w:eastAsiaTheme="minorEastAsia"/>
                <w:lang w:eastAsia="zh-CN"/>
              </w:rPr>
              <w:t xml:space="preserve">One train moving over one railway track in </w:t>
            </w:r>
            <w:bookmarkStart w:id="1" w:name="OLE_LINK2"/>
            <w:r>
              <w:rPr>
                <w:rFonts w:eastAsiaTheme="minorEastAsia"/>
                <w:lang w:eastAsia="zh-CN"/>
              </w:rPr>
              <w:t>one direction</w:t>
            </w:r>
            <w:bookmarkEnd w:id="1"/>
            <w:r>
              <w:rPr>
                <w:rFonts w:eastAsiaTheme="minorEastAsia"/>
                <w:lang w:eastAsia="zh-CN"/>
              </w:rPr>
              <w:t>;</w:t>
            </w:r>
          </w:p>
          <w:p>
            <w:pPr>
              <w:widowControl w:val="0"/>
              <w:numPr>
                <w:ilvl w:val="1"/>
                <w:numId w:val="7"/>
              </w:numPr>
              <w:overflowPunct w:val="0"/>
              <w:autoSpaceDE w:val="0"/>
              <w:autoSpaceDN w:val="0"/>
              <w:adjustRightInd w:val="0"/>
              <w:textAlignment w:val="baseline"/>
              <w:rPr>
                <w:rFonts w:eastAsia="宋体"/>
                <w:szCs w:val="20"/>
                <w:lang w:eastAsia="zh-CN"/>
              </w:rPr>
            </w:pPr>
            <w:r>
              <w:rPr>
                <w:rFonts w:eastAsiaTheme="minorEastAsia"/>
                <w:highlight w:val="none"/>
                <w:lang w:eastAsia="zh-CN"/>
              </w:rPr>
              <w:t>RRHs are located on one side of the track;</w:t>
            </w:r>
          </w:p>
        </w:tc>
      </w:tr>
    </w:tbl>
    <w:p>
      <w:pPr>
        <w:pStyle w:val="3"/>
        <w:rPr>
          <w:rFonts w:eastAsia="宋体"/>
          <w:szCs w:val="20"/>
          <w:lang w:val="en-US" w:eastAsia="zh-CN"/>
        </w:rPr>
      </w:pPr>
      <w:r>
        <w:rPr>
          <w:rFonts w:hint="eastAsia" w:eastAsia="宋体"/>
          <w:szCs w:val="20"/>
          <w:lang w:val="en-US" w:eastAsia="zh-CN"/>
        </w:rPr>
        <w:t xml:space="preserve">So we are not sure whether we need to strictly follow such agreement. We suggest firstly we should identify whether such agreement need to be updated. If the answer is No, we do not need to discuss this issue no longer. If the answer is Yes, we need to further discuss this issue. Since this issue belong to scenario deployment scope, maybe we can seek for the help of Scenario session, wait for their identify of whether need to consider two sides deployment. </w:t>
      </w:r>
    </w:p>
    <w:p>
      <w:pPr>
        <w:pStyle w:val="3"/>
        <w:rPr>
          <w:rFonts w:eastAsia="宋体"/>
          <w:szCs w:val="20"/>
          <w:lang w:val="en-US" w:eastAsia="zh-CN"/>
        </w:rPr>
      </w:pPr>
      <w:bookmarkStart w:id="2" w:name="OLE_LINK1"/>
      <w:r>
        <w:rPr>
          <w:rFonts w:hint="eastAsia" w:eastAsia="宋体"/>
          <w:b/>
          <w:bCs/>
          <w:szCs w:val="20"/>
          <w:lang w:val="en-US" w:eastAsia="zh-CN"/>
        </w:rPr>
        <w:t xml:space="preserve">Proposal3: </w:t>
      </w:r>
      <w:bookmarkEnd w:id="2"/>
      <w:r>
        <w:rPr>
          <w:rFonts w:hint="eastAsia" w:eastAsia="宋体"/>
          <w:b/>
          <w:bCs/>
          <w:szCs w:val="20"/>
          <w:lang w:val="en-US" w:eastAsia="zh-CN"/>
        </w:rPr>
        <w:t>Firstly identify whether some update are needed for the previous agreements. If no, we do not need to discuss this issue.</w:t>
      </w:r>
    </w:p>
    <w:p>
      <w:pPr>
        <w:pStyle w:val="3"/>
        <w:rPr>
          <w:rFonts w:eastAsia="宋体"/>
          <w:szCs w:val="20"/>
          <w:lang w:val="en-US" w:eastAsia="zh-CN"/>
        </w:rPr>
      </w:pPr>
      <w:r>
        <w:rPr>
          <w:rFonts w:hint="eastAsia" w:eastAsia="宋体"/>
          <w:szCs w:val="20"/>
          <w:lang w:val="en-US" w:eastAsia="zh-CN"/>
        </w:rPr>
        <w:t>Suppose the answer is Yes, then two options were proposed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4"/>
              </w:numPr>
              <w:ind w:firstLineChars="0"/>
              <w:rPr>
                <w:rFonts w:ascii="Times New Roman" w:hAnsi="Times New Roman"/>
                <w:kern w:val="0"/>
                <w:sz w:val="20"/>
                <w:szCs w:val="20"/>
              </w:rPr>
            </w:pPr>
            <w:r>
              <w:rPr>
                <w:rFonts w:ascii="Times New Roman" w:hAnsi="Times New Roman"/>
                <w:kern w:val="0"/>
                <w:sz w:val="20"/>
                <w:szCs w:val="20"/>
              </w:rPr>
              <w:t>Option 1: RRM requirements are defined with scaling factor which is double of number of RX sweep number in scenario study.</w:t>
            </w:r>
          </w:p>
          <w:p>
            <w:pPr>
              <w:pStyle w:val="27"/>
              <w:numPr>
                <w:ilvl w:val="0"/>
                <w:numId w:val="5"/>
              </w:numPr>
              <w:spacing w:line="256" w:lineRule="auto"/>
              <w:ind w:firstLineChars="0"/>
              <w:rPr>
                <w:sz w:val="20"/>
                <w:szCs w:val="20"/>
              </w:rPr>
            </w:pPr>
            <w:r>
              <w:rPr>
                <w:rFonts w:ascii="Times New Roman" w:hAnsi="Times New Roman"/>
                <w:kern w:val="0"/>
                <w:sz w:val="20"/>
                <w:szCs w:val="20"/>
              </w:rPr>
              <w:t>Option 2: RRM requirements are defined with adapted scaling factor based on explicit or implicit signalling from network to UE.</w:t>
            </w:r>
          </w:p>
          <w:p>
            <w:pPr>
              <w:pStyle w:val="27"/>
              <w:numPr>
                <w:ilvl w:val="0"/>
                <w:numId w:val="5"/>
              </w:numPr>
              <w:spacing w:line="256" w:lineRule="auto"/>
              <w:ind w:firstLineChars="0"/>
              <w:rPr>
                <w:sz w:val="20"/>
                <w:szCs w:val="20"/>
              </w:rPr>
            </w:pPr>
            <w:r>
              <w:rPr>
                <w:rFonts w:ascii="Times New Roman" w:hAnsi="Times New Roman"/>
                <w:kern w:val="0"/>
                <w:sz w:val="20"/>
                <w:szCs w:val="20"/>
              </w:rPr>
              <w:t>Other options are not precluded.</w:t>
            </w:r>
          </w:p>
        </w:tc>
      </w:tr>
    </w:tbl>
    <w:p>
      <w:pPr>
        <w:pStyle w:val="3"/>
        <w:rPr>
          <w:rFonts w:hint="eastAsia" w:eastAsiaTheme="minorEastAsia"/>
          <w:lang w:val="en-US" w:eastAsia="zh-CN"/>
        </w:rPr>
      </w:pPr>
      <w:r>
        <w:rPr>
          <w:rFonts w:hint="eastAsia" w:eastAsia="宋体"/>
          <w:szCs w:val="20"/>
          <w:lang w:val="en-US" w:eastAsia="zh-CN"/>
        </w:rPr>
        <w:t xml:space="preserve">From the perspective of RRM study, for the two cases that one side deployment and </w:t>
      </w:r>
      <w:r>
        <w:rPr>
          <w:rFonts w:eastAsia="宋体"/>
          <w:szCs w:val="20"/>
          <w:lang w:val="en-US" w:eastAsia="zh-CN"/>
        </w:rPr>
        <w:t>“</w:t>
      </w:r>
      <w:r>
        <w:rPr>
          <w:rFonts w:hint="eastAsia" w:eastAsia="宋体"/>
          <w:szCs w:val="20"/>
          <w:lang w:val="en-US" w:eastAsia="zh-CN"/>
        </w:rPr>
        <w:t>Z</w:t>
      </w:r>
      <w:r>
        <w:rPr>
          <w:rFonts w:eastAsia="宋体"/>
          <w:szCs w:val="20"/>
          <w:lang w:val="en-US" w:eastAsia="zh-CN"/>
        </w:rPr>
        <w:t>”</w:t>
      </w:r>
      <w:r>
        <w:rPr>
          <w:rFonts w:hint="eastAsia" w:eastAsia="宋体"/>
          <w:szCs w:val="20"/>
          <w:lang w:val="en-US" w:eastAsia="zh-CN"/>
        </w:rPr>
        <w:t xml:space="preserve"> shape deployment, the RX beam number should be different, one simply solution is to double RX beam number for the case of </w:t>
      </w:r>
      <w:r>
        <w:rPr>
          <w:rFonts w:eastAsia="宋体"/>
          <w:szCs w:val="20"/>
          <w:lang w:val="en-US" w:eastAsia="zh-CN"/>
        </w:rPr>
        <w:t>“</w:t>
      </w:r>
      <w:r>
        <w:rPr>
          <w:rFonts w:hint="eastAsia" w:eastAsia="宋体"/>
          <w:szCs w:val="20"/>
          <w:lang w:val="en-US" w:eastAsia="zh-CN"/>
        </w:rPr>
        <w:t>Z</w:t>
      </w:r>
      <w:r>
        <w:rPr>
          <w:rFonts w:eastAsia="宋体"/>
          <w:szCs w:val="20"/>
          <w:lang w:val="en-US" w:eastAsia="zh-CN"/>
        </w:rPr>
        <w:t>”</w:t>
      </w:r>
      <w:r>
        <w:rPr>
          <w:rFonts w:hint="eastAsia" w:eastAsia="宋体"/>
          <w:szCs w:val="20"/>
          <w:lang w:val="en-US" w:eastAsia="zh-CN"/>
        </w:rPr>
        <w:t xml:space="preserve"> shape deployment. However, how to notify the UE of the current single-side deployment or </w:t>
      </w:r>
      <w:r>
        <w:rPr>
          <w:rFonts w:hint="default" w:eastAsia="宋体"/>
          <w:szCs w:val="20"/>
          <w:lang w:val="en-US" w:eastAsia="zh-CN"/>
        </w:rPr>
        <w:t>“</w:t>
      </w:r>
      <w:r>
        <w:rPr>
          <w:rFonts w:hint="eastAsia" w:eastAsia="宋体"/>
          <w:szCs w:val="20"/>
          <w:lang w:val="en-US" w:eastAsia="zh-CN"/>
        </w:rPr>
        <w:t>Z</w:t>
      </w:r>
      <w:r>
        <w:rPr>
          <w:rFonts w:hint="default" w:eastAsia="宋体"/>
          <w:szCs w:val="20"/>
          <w:lang w:val="en-US" w:eastAsia="zh-CN"/>
        </w:rPr>
        <w:t>”</w:t>
      </w:r>
      <w:r>
        <w:rPr>
          <w:rFonts w:hint="eastAsia" w:eastAsia="宋体"/>
          <w:szCs w:val="20"/>
          <w:lang w:val="en-US" w:eastAsia="zh-CN"/>
        </w:rPr>
        <w:t xml:space="preserve"> shape deployment so that the UE can determine the RX beam number according to the deployment. This is the key problem to be solved. For the UE that is about to move to the "Z" shape deployment line segment, the NW signaling indicates the specific RX beam number of the UE and the group of RX beam to sweep, which will greatly improve the efficiency of the UE in measurement. Accordingly, different RRM requirements corresponding to one side deployment and </w:t>
      </w:r>
      <w:r>
        <w:rPr>
          <w:rFonts w:hint="default" w:eastAsia="宋体"/>
          <w:szCs w:val="20"/>
          <w:lang w:val="en-US" w:eastAsia="zh-CN"/>
        </w:rPr>
        <w:t>“</w:t>
      </w:r>
      <w:r>
        <w:rPr>
          <w:rFonts w:hint="eastAsia" w:eastAsia="宋体"/>
          <w:szCs w:val="20"/>
          <w:lang w:val="en-US" w:eastAsia="zh-CN"/>
        </w:rPr>
        <w:t>Z</w:t>
      </w:r>
      <w:r>
        <w:rPr>
          <w:rFonts w:hint="default" w:eastAsia="宋体"/>
          <w:szCs w:val="20"/>
          <w:lang w:val="en-US" w:eastAsia="zh-CN"/>
        </w:rPr>
        <w:t>”</w:t>
      </w:r>
      <w:r>
        <w:rPr>
          <w:rFonts w:hint="eastAsia" w:eastAsia="宋体"/>
          <w:szCs w:val="20"/>
          <w:lang w:val="en-US" w:eastAsia="zh-CN"/>
        </w:rPr>
        <w:t xml:space="preserve"> shape deployment should be supported respectively. So we support Option 2. However, which will make the implementation much complicated. The complexity is not only reflected in the need of double RX beam number. For single-side deployment, the NW may also need to explicitly or implicitly indicate the UE on which side the RRH is deployed, so that the UE can select a suitable group from two groups of RX beam. In this way, not double RX beam number can be implemented.</w:t>
      </w:r>
    </w:p>
    <w:p>
      <w:pPr>
        <w:pStyle w:val="3"/>
        <w:rPr>
          <w:rFonts w:eastAsia="宋体"/>
          <w:b/>
          <w:bCs/>
          <w:szCs w:val="20"/>
          <w:lang w:val="en-US" w:eastAsia="zh-CN"/>
        </w:rPr>
      </w:pPr>
      <w:r>
        <w:rPr>
          <w:rFonts w:hint="eastAsia" w:eastAsia="宋体"/>
          <w:b/>
          <w:bCs/>
          <w:szCs w:val="20"/>
          <w:lang w:val="en-US" w:eastAsia="zh-CN"/>
        </w:rPr>
        <w:t>Proposal4: If we identify update the previous agreements, RRM requirements are defined with adapted scaling factor based on explicit or implicit signalling from network to UE.</w:t>
      </w:r>
    </w:p>
    <w:p>
      <w:pPr>
        <w:pStyle w:val="3"/>
        <w:rPr>
          <w:rFonts w:eastAsia="宋体"/>
          <w:b/>
          <w:bCs/>
          <w:szCs w:val="20"/>
          <w:lang w:val="en-US" w:eastAsia="zh-CN"/>
        </w:rPr>
      </w:pPr>
      <w:r>
        <w:rPr>
          <w:rFonts w:hint="eastAsia" w:eastAsia="宋体"/>
          <w:b/>
          <w:bCs/>
          <w:szCs w:val="20"/>
          <w:lang w:val="en-US" w:eastAsia="zh-CN"/>
        </w:rPr>
        <w:t xml:space="preserve">Proposal 5：If considering the possibility of two sides deployment, not only adapted scaling factor should be supported, the NW signalling indication should also be studied further. </w:t>
      </w:r>
    </w:p>
    <w:p>
      <w:pPr>
        <w:pStyle w:val="3"/>
        <w:rPr>
          <w:rFonts w:hint="eastAsia" w:eastAsia="宋体"/>
          <w:szCs w:val="20"/>
          <w:lang w:val="en-US" w:eastAsia="zh-CN"/>
        </w:rPr>
      </w:pPr>
      <w:r>
        <w:rPr>
          <w:rFonts w:hint="eastAsia" w:eastAsia="宋体"/>
          <w:szCs w:val="20"/>
          <w:lang w:val="en-US" w:eastAsia="zh-CN"/>
        </w:rPr>
        <w:t>Further more, we need to consider the CPE panel placement. If using one CPE panel to cover two sides</w:t>
      </w:r>
      <w:r>
        <w:rPr>
          <w:rFonts w:eastAsia="宋体"/>
          <w:szCs w:val="20"/>
          <w:lang w:val="en-US" w:eastAsia="zh-CN"/>
        </w:rPr>
        <w:t>’</w:t>
      </w:r>
      <w:r>
        <w:rPr>
          <w:rFonts w:hint="eastAsia" w:eastAsia="宋体"/>
          <w:szCs w:val="20"/>
          <w:lang w:val="en-US" w:eastAsia="zh-CN"/>
        </w:rPr>
        <w:t xml:space="preserve"> RRH transmission, maybe the CPE panel can only be placed vertically in the CPE moving direction, as shown in Fig.1. but we concern some loss will be introduced when UE is close to the serving RRH. If using two panels to cover two sides</w:t>
      </w:r>
      <w:r>
        <w:rPr>
          <w:rFonts w:eastAsia="宋体"/>
          <w:szCs w:val="20"/>
          <w:lang w:val="en-US" w:eastAsia="zh-CN"/>
        </w:rPr>
        <w:t>’</w:t>
      </w:r>
      <w:r>
        <w:rPr>
          <w:rFonts w:hint="eastAsia" w:eastAsia="宋体"/>
          <w:szCs w:val="20"/>
          <w:lang w:val="en-US" w:eastAsia="zh-CN"/>
        </w:rPr>
        <w:t xml:space="preserve"> RRH transmission, as shown in Fig.2, which will lead to better beam coverage since the boresight direction can be slightly deviated from the CPE moving direction, but for bi-directional deployment, maybe 2+2 CPE panels are necessary, which beyond the agreed UE antenna configuration. So two sides deployment leads challenge to the agreed UE antenna configuration for bi-directional deployment. </w:t>
      </w:r>
    </w:p>
    <w:p>
      <w:pPr>
        <w:pStyle w:val="3"/>
        <w:rPr>
          <w:rFonts w:hint="eastAsia" w:eastAsiaTheme="minorEastAsia"/>
          <w:lang w:eastAsia="zh-CN"/>
        </w:rPr>
      </w:pPr>
      <w:r>
        <w:object>
          <v:shape id="_x0000_i1025" o:spt="75" type="#_x0000_t75" style="height:150.35pt;width:416.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3"/>
        <w:jc w:val="center"/>
        <w:rPr>
          <w:rFonts w:hint="eastAsia" w:eastAsiaTheme="minorEastAsia"/>
          <w:lang w:val="en-US" w:eastAsia="zh-CN"/>
        </w:rPr>
      </w:pPr>
      <w:r>
        <w:rPr>
          <w:rFonts w:hint="eastAsia" w:eastAsiaTheme="minorEastAsia"/>
          <w:lang w:val="en-US" w:eastAsia="zh-CN"/>
        </w:rPr>
        <w:t>Fig.1 One CPE panel for two sides deployment(uni-directional)</w:t>
      </w:r>
    </w:p>
    <w:p>
      <w:pPr>
        <w:pStyle w:val="3"/>
        <w:jc w:val="center"/>
        <w:rPr>
          <w:rFonts w:hint="eastAsia" w:eastAsiaTheme="minorEastAsia"/>
          <w:lang w:eastAsia="zh-CN"/>
        </w:rPr>
      </w:pPr>
      <w:r>
        <w:object>
          <v:shape id="_x0000_i1026" o:spt="75" type="#_x0000_t75" style="height:145.75pt;width:399.1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3"/>
        <w:jc w:val="center"/>
        <w:rPr>
          <w:rFonts w:hint="eastAsia" w:eastAsiaTheme="minorEastAsia"/>
          <w:lang w:val="en-US" w:eastAsia="zh-CN"/>
        </w:rPr>
      </w:pPr>
      <w:r>
        <w:rPr>
          <w:rFonts w:hint="eastAsia" w:eastAsiaTheme="minorEastAsia"/>
          <w:lang w:val="en-US" w:eastAsia="zh-CN"/>
        </w:rPr>
        <w:t>Fig.2 Two CPE panels for two sides deployment(uni-directional)</w:t>
      </w:r>
    </w:p>
    <w:p>
      <w:pPr>
        <w:pStyle w:val="3"/>
        <w:rPr>
          <w:rFonts w:eastAsia="宋体"/>
          <w:b/>
          <w:bCs/>
          <w:szCs w:val="20"/>
          <w:lang w:val="en-US" w:eastAsia="zh-CN"/>
        </w:rPr>
      </w:pPr>
      <w:r>
        <w:rPr>
          <w:rFonts w:hint="eastAsia" w:eastAsia="宋体"/>
          <w:b/>
          <w:bCs/>
          <w:szCs w:val="20"/>
          <w:lang w:val="en-US" w:eastAsia="zh-CN"/>
        </w:rPr>
        <w:t>Observation 1：In order to achieve better beam performance, 2 CPE panels are needed just for uni-directional two sides RRH deployment, so 4 CPE panels may be needed for bi-directional two sides RRH deployment.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we have the following proposals</w:t>
      </w:r>
      <w:r>
        <w:rPr>
          <w:rFonts w:hint="eastAsia" w:eastAsia="宋体"/>
          <w:bCs/>
          <w:szCs w:val="20"/>
          <w:lang w:val="en-GB" w:eastAsia="zh-CN"/>
        </w:rPr>
        <w:t xml:space="preserve"> </w:t>
      </w:r>
      <w:r>
        <w:rPr>
          <w:rFonts w:eastAsia="宋体"/>
          <w:bCs/>
          <w:szCs w:val="20"/>
          <w:lang w:val="en-GB" w:eastAsia="zh-CN"/>
        </w:rPr>
        <w:t xml:space="preserve">for </w:t>
      </w:r>
      <w:r>
        <w:rPr>
          <w:rFonts w:hint="eastAsia" w:eastAsia="宋体"/>
          <w:bCs/>
          <w:szCs w:val="20"/>
          <w:lang w:val="en-US" w:eastAsia="zh-CN"/>
        </w:rPr>
        <w:t>RX beam sweep number</w:t>
      </w:r>
      <w:r>
        <w:rPr>
          <w:rFonts w:eastAsia="宋体"/>
          <w:bCs/>
          <w:szCs w:val="20"/>
          <w:lang w:val="en-GB" w:eastAsia="zh-CN"/>
        </w:rPr>
        <w:t>:</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US" w:eastAsia="zh-CN"/>
        </w:rPr>
        <w:t>Observation</w:t>
      </w:r>
      <w:r>
        <w:rPr>
          <w:rFonts w:eastAsia="宋体"/>
          <w:b/>
          <w:bCs/>
          <w:szCs w:val="20"/>
          <w:lang w:val="en-GB" w:eastAsia="zh-CN"/>
        </w:rPr>
        <w:t xml:space="preserve"> 1:</w:t>
      </w:r>
      <w:r>
        <w:rPr>
          <w:rFonts w:hint="eastAsia" w:eastAsia="宋体"/>
          <w:b/>
          <w:bCs/>
          <w:szCs w:val="20"/>
          <w:lang w:val="en-US" w:eastAsia="zh-CN"/>
        </w:rPr>
        <w:t xml:space="preserve"> In order to achieve better beam performance, two CPE panels are needed just for uni-directional two sides RRH deployment, so four CPE panels may be needed for bi-directional two sides RRH deployment. </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GB" w:eastAsia="zh-CN"/>
        </w:rPr>
        <w:t>Proposal 1:</w:t>
      </w:r>
      <w:r>
        <w:rPr>
          <w:rFonts w:hint="eastAsia" w:eastAsia="宋体"/>
          <w:b/>
          <w:bCs/>
          <w:szCs w:val="20"/>
          <w:lang w:val="en-US" w:eastAsia="zh-CN"/>
        </w:rPr>
        <w:t xml:space="preserve"> 2 RX beam per CPE panel is enouth for both uni- and bi-directional deployments of Scenario A.</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US" w:eastAsia="zh-CN"/>
        </w:rPr>
        <w:t xml:space="preserve">Proposal 2: F6 RX beam per CPE panel is a bit redundant for Scenario B, especially for bi-directional deployment. </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US" w:eastAsia="zh-CN"/>
        </w:rPr>
        <w:t>Proposal 3: Firstly identify whether some update are needed for the previous agreements. If no, we do not need to discuss this issue.</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US" w:eastAsia="zh-CN"/>
        </w:rPr>
        <w:t xml:space="preserve">Proposal 4: If we identify update the previous agreements, RRM requirements are defined with adapted scaling factor based on explicit or implicit signalling from network to UE. </w:t>
      </w:r>
    </w:p>
    <w:p>
      <w:pPr>
        <w:pStyle w:val="3"/>
        <w:tabs>
          <w:tab w:val="left" w:pos="226"/>
          <w:tab w:val="left" w:pos="284"/>
          <w:tab w:val="left" w:pos="5103"/>
        </w:tabs>
        <w:snapToGrid w:val="0"/>
        <w:rPr>
          <w:rFonts w:eastAsia="宋体"/>
          <w:b/>
          <w:bCs/>
          <w:szCs w:val="20"/>
          <w:lang w:val="en-US" w:eastAsia="zh-CN"/>
        </w:rPr>
      </w:pPr>
      <w:r>
        <w:rPr>
          <w:rFonts w:hint="eastAsia" w:eastAsia="宋体"/>
          <w:b/>
          <w:bCs/>
          <w:szCs w:val="20"/>
          <w:lang w:val="en-US" w:eastAsia="zh-CN"/>
        </w:rPr>
        <w:t xml:space="preserve">Proposal 5: If considering the possibility of two sides deployment, not only adapted scaling factor should be supported, the NW signalling indication should also be studied further. </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numPr>
          <w:ilvl w:val="0"/>
          <w:numId w:val="8"/>
        </w:numPr>
        <w:rPr>
          <w:lang w:val="en-US"/>
        </w:rPr>
      </w:pPr>
      <w:bookmarkStart w:id="3" w:name="OLE_LINK3"/>
      <w:r>
        <w:rPr>
          <w:rFonts w:hint="eastAsia"/>
          <w:lang w:val="en-US"/>
        </w:rPr>
        <w:t xml:space="preserve"> R4</w:t>
      </w:r>
      <w:r>
        <w:rPr>
          <w:rFonts w:hint="eastAsia"/>
          <w:highlight w:val="none"/>
          <w:lang w:val="en-US"/>
        </w:rPr>
        <w:t>-</w:t>
      </w:r>
      <w:r>
        <w:rPr>
          <w:rFonts w:hint="eastAsia"/>
          <w:highlight w:val="none"/>
          <w:lang w:val="en-US" w:eastAsia="zh-CN"/>
        </w:rPr>
        <w:t>2115334</w:t>
      </w:r>
      <w:r>
        <w:rPr>
          <w:rFonts w:hint="eastAsia"/>
          <w:lang w:val="en-US"/>
        </w:rPr>
        <w:t>,</w:t>
      </w:r>
      <w:bookmarkEnd w:id="3"/>
      <w:r>
        <w:rPr>
          <w:lang w:val="en-US"/>
        </w:rPr>
        <w:t>“</w:t>
      </w:r>
      <w:r>
        <w:rPr>
          <w:rFonts w:hint="eastAsia"/>
          <w:lang w:val="en-US" w:eastAsia="zh-CN"/>
        </w:rPr>
        <w:t>WF on FR2 HST RRM (part 1)</w:t>
      </w:r>
      <w:r>
        <w:rPr>
          <w:lang w:val="en-US"/>
        </w:rPr>
        <w:t>”</w:t>
      </w:r>
      <w:r>
        <w:rPr>
          <w:rFonts w:hint="eastAsia"/>
          <w:lang w:val="en-US"/>
        </w:rPr>
        <w:t>, RAN4#</w:t>
      </w:r>
      <w:r>
        <w:rPr>
          <w:rFonts w:hint="eastAsia"/>
          <w:lang w:val="en-US" w:eastAsia="zh-CN"/>
        </w:rPr>
        <w:t xml:space="preserve">100 </w:t>
      </w:r>
      <w:r>
        <w:rPr>
          <w:rFonts w:hint="eastAsia"/>
          <w:lang w:val="en-US"/>
        </w:rPr>
        <w:t xml:space="preserve">e-meeting, Nokia, Nokia Shanghai Bell. </w:t>
      </w:r>
    </w:p>
    <w:p>
      <w:pPr>
        <w:pStyle w:val="9"/>
        <w:numPr>
          <w:ilvl w:val="0"/>
          <w:numId w:val="8"/>
        </w:numPr>
        <w:rPr>
          <w:lang w:val="en-US"/>
        </w:rPr>
      </w:pPr>
      <w:bookmarkStart w:id="4" w:name="OLE_LINK7"/>
      <w:r>
        <w:rPr>
          <w:rFonts w:hint="eastAsia"/>
          <w:lang w:val="en-US"/>
        </w:rPr>
        <w:t>R4-</w:t>
      </w:r>
      <w:r>
        <w:rPr>
          <w:rFonts w:hint="eastAsia"/>
          <w:highlight w:val="none"/>
          <w:lang w:val="en-US"/>
        </w:rPr>
        <w:t>210</w:t>
      </w:r>
      <w:bookmarkEnd w:id="4"/>
      <w:r>
        <w:rPr>
          <w:rFonts w:hint="eastAsia"/>
          <w:highlight w:val="none"/>
          <w:lang w:val="en-US" w:eastAsia="zh-CN"/>
        </w:rPr>
        <w:t>3240</w:t>
      </w:r>
      <w:r>
        <w:rPr>
          <w:rFonts w:hint="eastAsia"/>
          <w:lang w:val="en-US"/>
        </w:rPr>
        <w:t xml:space="preserve">, </w:t>
      </w:r>
      <w:r>
        <w:rPr>
          <w:lang w:val="en-US"/>
        </w:rPr>
        <w:t>“</w:t>
      </w:r>
      <w:r>
        <w:rPr>
          <w:rFonts w:hint="eastAsia"/>
          <w:lang w:val="en-US"/>
        </w:rPr>
        <w:t>Way forward on Deployment Scenario and UE RF Requirement for FR2 HST</w:t>
      </w:r>
      <w:r>
        <w:rPr>
          <w:lang w:val="en-US"/>
        </w:rPr>
        <w:t>”</w:t>
      </w:r>
      <w:r>
        <w:rPr>
          <w:rFonts w:hint="eastAsia"/>
          <w:lang w:val="en-US"/>
        </w:rPr>
        <w:t xml:space="preserve">, RAN4#98 e-meeting, Samsung. </w:t>
      </w:r>
    </w:p>
    <w:p>
      <w:pPr>
        <w:pStyle w:val="9"/>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372450C"/>
    <w:multiLevelType w:val="singleLevel"/>
    <w:tmpl w:val="2372450C"/>
    <w:lvl w:ilvl="0" w:tentative="0">
      <w:start w:val="1"/>
      <w:numFmt w:val="bullet"/>
      <w:lvlText w:val=""/>
      <w:lvlJc w:val="left"/>
      <w:pPr>
        <w:ind w:left="420" w:hanging="420"/>
      </w:pPr>
      <w:rPr>
        <w:rFonts w:hint="default" w:ascii="Wingdings" w:hAnsi="Wingdings"/>
      </w:rPr>
    </w:lvl>
  </w:abstractNum>
  <w:abstractNum w:abstractNumId="3">
    <w:nsid w:val="251C4C3E"/>
    <w:multiLevelType w:val="multilevel"/>
    <w:tmpl w:val="251C4C3E"/>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81C1EEB"/>
    <w:multiLevelType w:val="multilevel"/>
    <w:tmpl w:val="781C1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1"/>
  </w:num>
  <w:num w:numId="4">
    <w:abstractNumId w:val="6"/>
  </w:num>
  <w:num w:numId="5">
    <w:abstractNumId w:val="7"/>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6A81"/>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587"/>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ED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4101F2E"/>
    <w:rsid w:val="04EF533A"/>
    <w:rsid w:val="05C42923"/>
    <w:rsid w:val="07CD3CDD"/>
    <w:rsid w:val="0855671D"/>
    <w:rsid w:val="089D2F27"/>
    <w:rsid w:val="09716BCA"/>
    <w:rsid w:val="09E644B8"/>
    <w:rsid w:val="0B806C83"/>
    <w:rsid w:val="0BB0429A"/>
    <w:rsid w:val="0C403BD6"/>
    <w:rsid w:val="104E4F56"/>
    <w:rsid w:val="10807482"/>
    <w:rsid w:val="10F34738"/>
    <w:rsid w:val="11912C97"/>
    <w:rsid w:val="1481754F"/>
    <w:rsid w:val="148F5721"/>
    <w:rsid w:val="14AC57CD"/>
    <w:rsid w:val="150A02A1"/>
    <w:rsid w:val="154B4EDA"/>
    <w:rsid w:val="164514BE"/>
    <w:rsid w:val="170F06AA"/>
    <w:rsid w:val="180A6E32"/>
    <w:rsid w:val="183F2CD2"/>
    <w:rsid w:val="18CD0507"/>
    <w:rsid w:val="1AD01A1B"/>
    <w:rsid w:val="1C177B08"/>
    <w:rsid w:val="1C9001C6"/>
    <w:rsid w:val="1CBA2101"/>
    <w:rsid w:val="1D0573D7"/>
    <w:rsid w:val="1D153DC4"/>
    <w:rsid w:val="1D223E0B"/>
    <w:rsid w:val="1E853F6F"/>
    <w:rsid w:val="1ECC1E3C"/>
    <w:rsid w:val="1FD40FD5"/>
    <w:rsid w:val="1FD4390A"/>
    <w:rsid w:val="21244EB1"/>
    <w:rsid w:val="21F13629"/>
    <w:rsid w:val="232D3E03"/>
    <w:rsid w:val="233E6752"/>
    <w:rsid w:val="24122135"/>
    <w:rsid w:val="263077B3"/>
    <w:rsid w:val="26BB1419"/>
    <w:rsid w:val="2A7E505C"/>
    <w:rsid w:val="2BC05B2C"/>
    <w:rsid w:val="2BD617C5"/>
    <w:rsid w:val="2C112837"/>
    <w:rsid w:val="2C8F77DD"/>
    <w:rsid w:val="2F2F0FC8"/>
    <w:rsid w:val="2F626282"/>
    <w:rsid w:val="301C6BB6"/>
    <w:rsid w:val="303D2CE7"/>
    <w:rsid w:val="30BE45B7"/>
    <w:rsid w:val="31B14C9E"/>
    <w:rsid w:val="32042A1D"/>
    <w:rsid w:val="320820D4"/>
    <w:rsid w:val="35B06C6A"/>
    <w:rsid w:val="362D084C"/>
    <w:rsid w:val="36D37423"/>
    <w:rsid w:val="374346E3"/>
    <w:rsid w:val="3A185287"/>
    <w:rsid w:val="3A692CD0"/>
    <w:rsid w:val="3B673620"/>
    <w:rsid w:val="3B9A1F29"/>
    <w:rsid w:val="3CE4646B"/>
    <w:rsid w:val="3D5E7AA8"/>
    <w:rsid w:val="3D6F2596"/>
    <w:rsid w:val="3F5871F1"/>
    <w:rsid w:val="3FF22ECF"/>
    <w:rsid w:val="405F175E"/>
    <w:rsid w:val="40C765F3"/>
    <w:rsid w:val="42F869D2"/>
    <w:rsid w:val="43553536"/>
    <w:rsid w:val="43D4451F"/>
    <w:rsid w:val="451632B9"/>
    <w:rsid w:val="455E2C0D"/>
    <w:rsid w:val="45F60A50"/>
    <w:rsid w:val="46B036BF"/>
    <w:rsid w:val="47282363"/>
    <w:rsid w:val="48A67706"/>
    <w:rsid w:val="48E67C46"/>
    <w:rsid w:val="49E55BC5"/>
    <w:rsid w:val="49EA4E62"/>
    <w:rsid w:val="4C1B4559"/>
    <w:rsid w:val="4C1C63D6"/>
    <w:rsid w:val="4C864A35"/>
    <w:rsid w:val="4E015C76"/>
    <w:rsid w:val="4E4A2325"/>
    <w:rsid w:val="4E5A42F3"/>
    <w:rsid w:val="501A6C55"/>
    <w:rsid w:val="50A30C75"/>
    <w:rsid w:val="51B14BED"/>
    <w:rsid w:val="525C1CEF"/>
    <w:rsid w:val="52AB46D1"/>
    <w:rsid w:val="53250372"/>
    <w:rsid w:val="53C64B93"/>
    <w:rsid w:val="55B1164D"/>
    <w:rsid w:val="55B4735E"/>
    <w:rsid w:val="56371459"/>
    <w:rsid w:val="57867D36"/>
    <w:rsid w:val="59DA647E"/>
    <w:rsid w:val="5A556E1A"/>
    <w:rsid w:val="5BCC290A"/>
    <w:rsid w:val="5EB44FC0"/>
    <w:rsid w:val="5FA35B76"/>
    <w:rsid w:val="5FBA395F"/>
    <w:rsid w:val="612A24DF"/>
    <w:rsid w:val="61FF0B04"/>
    <w:rsid w:val="635902CD"/>
    <w:rsid w:val="638E4038"/>
    <w:rsid w:val="64706BBE"/>
    <w:rsid w:val="64F2095B"/>
    <w:rsid w:val="67A858DB"/>
    <w:rsid w:val="693E3147"/>
    <w:rsid w:val="69A833BD"/>
    <w:rsid w:val="6BBE44CB"/>
    <w:rsid w:val="6C4C2C3E"/>
    <w:rsid w:val="6DDE3DAF"/>
    <w:rsid w:val="6EB1140C"/>
    <w:rsid w:val="6F14354A"/>
    <w:rsid w:val="715F4C2D"/>
    <w:rsid w:val="72BF60CA"/>
    <w:rsid w:val="73E510B7"/>
    <w:rsid w:val="753811DE"/>
    <w:rsid w:val="75BE67D4"/>
    <w:rsid w:val="75C759C1"/>
    <w:rsid w:val="75E82F2F"/>
    <w:rsid w:val="762D64F3"/>
    <w:rsid w:val="76974FD8"/>
    <w:rsid w:val="76FF73F3"/>
    <w:rsid w:val="775B4604"/>
    <w:rsid w:val="77613E66"/>
    <w:rsid w:val="77C067C3"/>
    <w:rsid w:val="77C075F6"/>
    <w:rsid w:val="78911E31"/>
    <w:rsid w:val="79753AA2"/>
    <w:rsid w:val="7A9367CB"/>
    <w:rsid w:val="7AF22571"/>
    <w:rsid w:val="7B09447C"/>
    <w:rsid w:val="7C1C35A7"/>
    <w:rsid w:val="7C45431D"/>
    <w:rsid w:val="7DDD0501"/>
    <w:rsid w:val="7E935AFB"/>
    <w:rsid w:val="7FC90A85"/>
    <w:rsid w:val="7FD028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customStyle="1" w:styleId="20">
    <w:name w:val="标题 1 Char"/>
    <w:link w:val="2"/>
    <w:qFormat/>
    <w:uiPriority w:val="0"/>
    <w:rPr>
      <w:rFonts w:ascii="Helvetica" w:hAnsi="Helvetica" w:eastAsia="MS Mincho" w:cs="Times New Roman"/>
      <w:b/>
      <w:bCs/>
      <w:kern w:val="32"/>
      <w:sz w:val="28"/>
      <w:szCs w:val="32"/>
      <w:lang w:val="zh-CN" w:eastAsia="en-US"/>
    </w:rPr>
  </w:style>
  <w:style w:type="character" w:customStyle="1" w:styleId="21">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2">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3">
    <w:name w:val="页眉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页脚 Char"/>
    <w:link w:val="13"/>
    <w:qFormat/>
    <w:uiPriority w:val="99"/>
    <w:rPr>
      <w:rFonts w:ascii="Times New Roman" w:hAnsi="Times New Roman" w:eastAsia="Times New Roman" w:cs="Times New Roman"/>
      <w:kern w:val="0"/>
      <w:sz w:val="18"/>
      <w:szCs w:val="18"/>
      <w:lang w:eastAsia="en-US"/>
    </w:rPr>
  </w:style>
  <w:style w:type="character" w:customStyle="1" w:styleId="26">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文档结构图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jc w:val="center"/>
    </w:pPr>
    <w:rPr>
      <w:lang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列出段落 Char"/>
    <w:link w:val="27"/>
    <w:qFormat/>
    <w:uiPriority w:val="34"/>
    <w:rPr>
      <w:kern w:val="2"/>
      <w:sz w:val="21"/>
      <w:szCs w:val="22"/>
    </w:rPr>
  </w:style>
  <w:style w:type="character" w:customStyle="1" w:styleId="44">
    <w:name w:val="ZGSM"/>
    <w:qFormat/>
    <w:uiPriority w:val="0"/>
  </w:style>
  <w:style w:type="character" w:customStyle="1" w:styleId="45">
    <w:name w:val="日期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标题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1129</Words>
  <Characters>6439</Characters>
  <Lines>53</Lines>
  <Paragraphs>15</Paragraphs>
  <TotalTime>5</TotalTime>
  <ScaleCrop>false</ScaleCrop>
  <LinksUpToDate>false</LinksUpToDate>
  <CharactersWithSpaces>7553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2021-10-22T15:06:52Z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